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451632E" w14:textId="77777777" w:rsidTr="0040017C">
        <w:trPr>
          <w:trHeight w:val="851"/>
        </w:trPr>
        <w:tc>
          <w:tcPr>
            <w:tcW w:w="1259" w:type="dxa"/>
            <w:tcBorders>
              <w:top w:val="nil"/>
              <w:left w:val="nil"/>
              <w:bottom w:val="single" w:sz="4" w:space="0" w:color="auto"/>
              <w:right w:val="nil"/>
            </w:tcBorders>
          </w:tcPr>
          <w:p w14:paraId="15F30816"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2789FE06" w14:textId="7BF7A3EE"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3E2F156" w14:textId="1EF02C51" w:rsidR="00E52109" w:rsidRDefault="000A0FB2" w:rsidP="002459EF">
            <w:pPr>
              <w:suppressAutoHyphens w:val="0"/>
              <w:spacing w:after="20"/>
              <w:jc w:val="right"/>
            </w:pPr>
            <w:r w:rsidRPr="000A0FB2">
              <w:rPr>
                <w:sz w:val="40"/>
              </w:rPr>
              <w:t>A</w:t>
            </w:r>
            <w:r>
              <w:t>/HRC/</w:t>
            </w:r>
            <w:r w:rsidR="003879B1">
              <w:t>5</w:t>
            </w:r>
            <w:r w:rsidR="000C43D0">
              <w:t>2</w:t>
            </w:r>
            <w:r>
              <w:t>/G</w:t>
            </w:r>
            <w:r w:rsidR="005F65E6">
              <w:t>/</w:t>
            </w:r>
            <w:r w:rsidR="000372A3">
              <w:t>6</w:t>
            </w:r>
          </w:p>
        </w:tc>
      </w:tr>
      <w:tr w:rsidR="00E52109" w14:paraId="41A485AD" w14:textId="77777777" w:rsidTr="0040017C">
        <w:trPr>
          <w:trHeight w:val="2835"/>
        </w:trPr>
        <w:tc>
          <w:tcPr>
            <w:tcW w:w="1259" w:type="dxa"/>
            <w:tcBorders>
              <w:top w:val="single" w:sz="4" w:space="0" w:color="auto"/>
              <w:left w:val="nil"/>
              <w:bottom w:val="single" w:sz="12" w:space="0" w:color="auto"/>
              <w:right w:val="nil"/>
            </w:tcBorders>
          </w:tcPr>
          <w:p w14:paraId="2156CE21" w14:textId="6658E21C"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1A2E897A" w14:textId="09876EAE" w:rsidR="00E52109" w:rsidRDefault="00311870"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14:paraId="39F7088B" w14:textId="77777777" w:rsidR="000A0FB2" w:rsidRPr="00265D49" w:rsidRDefault="000A0FB2" w:rsidP="000A0FB2">
            <w:pPr>
              <w:spacing w:before="240" w:line="240" w:lineRule="exact"/>
            </w:pPr>
            <w:r w:rsidRPr="00265D49">
              <w:t>Distr.: General</w:t>
            </w:r>
          </w:p>
          <w:p w14:paraId="550F9296" w14:textId="7B8BB727" w:rsidR="000A0FB2" w:rsidRPr="00265D49" w:rsidRDefault="00C23515" w:rsidP="000A0FB2">
            <w:pPr>
              <w:spacing w:line="240" w:lineRule="exact"/>
            </w:pPr>
            <w:r>
              <w:t>6</w:t>
            </w:r>
            <w:r w:rsidR="004F68A7">
              <w:t xml:space="preserve"> </w:t>
            </w:r>
            <w:r w:rsidR="000372A3">
              <w:t>March</w:t>
            </w:r>
            <w:r w:rsidR="000A0FB2">
              <w:t xml:space="preserve"> 202</w:t>
            </w:r>
            <w:r w:rsidR="000C43D0">
              <w:t>3</w:t>
            </w:r>
          </w:p>
          <w:p w14:paraId="51777961" w14:textId="77777777" w:rsidR="000A0FB2" w:rsidRPr="00265D49" w:rsidRDefault="000A0FB2" w:rsidP="000A0FB2">
            <w:pPr>
              <w:spacing w:line="240" w:lineRule="exact"/>
            </w:pPr>
          </w:p>
          <w:p w14:paraId="5DD14DDA" w14:textId="6F7865DD" w:rsidR="000A0FB2" w:rsidRDefault="000A0FB2" w:rsidP="000A0FB2">
            <w:pPr>
              <w:suppressAutoHyphens w:val="0"/>
            </w:pPr>
            <w:r w:rsidRPr="00265D49">
              <w:t>Original: English</w:t>
            </w:r>
          </w:p>
        </w:tc>
      </w:tr>
    </w:tbl>
    <w:p w14:paraId="02F108A8" w14:textId="77777777" w:rsidR="000C43D0" w:rsidRPr="00AB07D6" w:rsidRDefault="000C43D0" w:rsidP="000C43D0">
      <w:pPr>
        <w:spacing w:before="120"/>
        <w:rPr>
          <w:b/>
          <w:bCs/>
          <w:sz w:val="24"/>
          <w:szCs w:val="24"/>
        </w:rPr>
      </w:pPr>
      <w:r w:rsidRPr="00AB07D6">
        <w:rPr>
          <w:b/>
          <w:bCs/>
          <w:sz w:val="24"/>
          <w:szCs w:val="24"/>
        </w:rPr>
        <w:t>Human Rights Council</w:t>
      </w:r>
    </w:p>
    <w:p w14:paraId="73E5BE50" w14:textId="77777777" w:rsidR="000C43D0" w:rsidRPr="00AB07D6" w:rsidRDefault="000C43D0" w:rsidP="000C43D0">
      <w:pPr>
        <w:rPr>
          <w:b/>
          <w:bCs/>
        </w:rPr>
      </w:pPr>
      <w:r w:rsidRPr="00AB07D6">
        <w:rPr>
          <w:b/>
          <w:bCs/>
        </w:rPr>
        <w:t>Fifty-second session</w:t>
      </w:r>
    </w:p>
    <w:p w14:paraId="4FC3067D" w14:textId="77777777" w:rsidR="000C43D0" w:rsidRPr="00AB07D6" w:rsidRDefault="000C43D0" w:rsidP="000C43D0">
      <w:bookmarkStart w:id="1" w:name="_Hlk122011226"/>
      <w:r w:rsidRPr="00AB07D6">
        <w:t>27 February–31 March 2023</w:t>
      </w:r>
    </w:p>
    <w:bookmarkEnd w:id="1"/>
    <w:p w14:paraId="50CD03BA" w14:textId="77777777" w:rsidR="008C0DB3" w:rsidRPr="002A1D9F" w:rsidRDefault="008C0DB3" w:rsidP="008C0DB3">
      <w:r>
        <w:t xml:space="preserve">Agenda item 4 </w:t>
      </w:r>
    </w:p>
    <w:p w14:paraId="6414C851" w14:textId="77777777" w:rsidR="008C0DB3" w:rsidRDefault="008C0DB3" w:rsidP="008C0DB3">
      <w:pPr>
        <w:spacing w:after="120"/>
        <w:rPr>
          <w:b/>
          <w:bCs/>
        </w:rPr>
      </w:pPr>
      <w:r w:rsidRPr="00927E57">
        <w:rPr>
          <w:b/>
        </w:rPr>
        <w:t>Human rights situations that require the Council’s attention</w:t>
      </w:r>
    </w:p>
    <w:p w14:paraId="49E8C6C7" w14:textId="3D8C3B88" w:rsidR="00C563B2" w:rsidRDefault="000A0FB2" w:rsidP="009D338A">
      <w:pPr>
        <w:pStyle w:val="HChG"/>
        <w:jc w:val="both"/>
        <w:rPr>
          <w:bCs/>
        </w:rPr>
      </w:pPr>
      <w:r w:rsidRPr="00265D49">
        <w:tab/>
      </w:r>
      <w:r w:rsidRPr="00265D49">
        <w:tab/>
      </w:r>
      <w:r w:rsidR="00C563B2" w:rsidRPr="00586CC7">
        <w:t xml:space="preserve">Note </w:t>
      </w:r>
      <w:proofErr w:type="spellStart"/>
      <w:r w:rsidR="00C563B2" w:rsidRPr="00586CC7">
        <w:t>verbale</w:t>
      </w:r>
      <w:proofErr w:type="spellEnd"/>
      <w:r w:rsidR="00C563B2" w:rsidRPr="00586CC7">
        <w:t xml:space="preserve"> dated </w:t>
      </w:r>
      <w:r w:rsidR="009D338A">
        <w:t>24</w:t>
      </w:r>
      <w:r w:rsidR="00C563B2">
        <w:t xml:space="preserve"> </w:t>
      </w:r>
      <w:r w:rsidR="009D338A">
        <w:t>February 2023</w:t>
      </w:r>
      <w:r w:rsidR="00C563B2" w:rsidRPr="00586CC7">
        <w:t xml:space="preserve"> from the Permanent Mission of Armenia to the United Nations Office at Geneva addressed to the Office of the United Nations High Commissioner for Human Rights</w:t>
      </w:r>
    </w:p>
    <w:p w14:paraId="1EB85D3A" w14:textId="12C3A33A" w:rsidR="009B27C8" w:rsidRPr="009B27C8" w:rsidRDefault="009B27C8" w:rsidP="009B27C8">
      <w:pPr>
        <w:pStyle w:val="SingleTxtG"/>
        <w:ind w:firstLine="567"/>
        <w:rPr>
          <w:bCs/>
          <w:lang w:val="en-US"/>
        </w:rPr>
      </w:pPr>
      <w:r w:rsidRPr="009B27C8">
        <w:rPr>
          <w:bCs/>
          <w:lang w:val="en-US"/>
        </w:rPr>
        <w:t xml:space="preserve">The Permanent Mission of the Republic of Armenia to the United Nations Office and other </w:t>
      </w:r>
      <w:r>
        <w:rPr>
          <w:bCs/>
          <w:lang w:val="en-US"/>
        </w:rPr>
        <w:t>i</w:t>
      </w:r>
      <w:r w:rsidRPr="009B27C8">
        <w:rPr>
          <w:bCs/>
          <w:lang w:val="en-US"/>
        </w:rPr>
        <w:t xml:space="preserve">nternational </w:t>
      </w:r>
      <w:r>
        <w:rPr>
          <w:bCs/>
          <w:lang w:val="en-US"/>
        </w:rPr>
        <w:t>o</w:t>
      </w:r>
      <w:r w:rsidRPr="009B27C8">
        <w:rPr>
          <w:bCs/>
          <w:lang w:val="en-US"/>
        </w:rPr>
        <w:t xml:space="preserve">rganizations in Geneva </w:t>
      </w:r>
      <w:r w:rsidR="00380A1B">
        <w:rPr>
          <w:bCs/>
          <w:lang w:val="en-US"/>
        </w:rPr>
        <w:t>hereby</w:t>
      </w:r>
      <w:r w:rsidRPr="009B27C8">
        <w:rPr>
          <w:bCs/>
          <w:lang w:val="en-US"/>
        </w:rPr>
        <w:t xml:space="preserve"> transmit</w:t>
      </w:r>
      <w:r w:rsidR="00380A1B">
        <w:rPr>
          <w:bCs/>
          <w:lang w:val="en-US"/>
        </w:rPr>
        <w:t>s</w:t>
      </w:r>
      <w:r w:rsidRPr="009B27C8">
        <w:rPr>
          <w:bCs/>
          <w:lang w:val="en-US"/>
        </w:rPr>
        <w:t xml:space="preserve"> </w:t>
      </w:r>
      <w:r w:rsidR="00175AC7">
        <w:rPr>
          <w:bCs/>
          <w:lang w:val="en-US"/>
        </w:rPr>
        <w:t>a</w:t>
      </w:r>
      <w:r w:rsidR="00175AC7" w:rsidRPr="009B27C8">
        <w:rPr>
          <w:bCs/>
          <w:lang w:val="en-US"/>
        </w:rPr>
        <w:t xml:space="preserve"> </w:t>
      </w:r>
      <w:r w:rsidR="00175AC7">
        <w:rPr>
          <w:bCs/>
          <w:lang w:val="en-US"/>
        </w:rPr>
        <w:t>s</w:t>
      </w:r>
      <w:r w:rsidRPr="009B27C8">
        <w:rPr>
          <w:bCs/>
          <w:lang w:val="en-US"/>
        </w:rPr>
        <w:t xml:space="preserve">tatement of the Ministry of Foreign Affairs of the Republic of Armenia on the </w:t>
      </w:r>
      <w:r w:rsidR="00D6063C">
        <w:rPr>
          <w:bCs/>
          <w:lang w:val="en-US"/>
        </w:rPr>
        <w:t>o</w:t>
      </w:r>
      <w:r w:rsidRPr="009B27C8">
        <w:rPr>
          <w:bCs/>
          <w:lang w:val="en-US"/>
        </w:rPr>
        <w:t xml:space="preserve">rder of the International Court of Justice on the request for provisional measures made by Armenia regarding the disruption of the </w:t>
      </w:r>
      <w:proofErr w:type="spellStart"/>
      <w:r w:rsidRPr="009B27C8">
        <w:rPr>
          <w:bCs/>
          <w:lang w:val="en-US"/>
        </w:rPr>
        <w:t>Lachin</w:t>
      </w:r>
      <w:proofErr w:type="spellEnd"/>
      <w:r w:rsidRPr="009B27C8">
        <w:rPr>
          <w:bCs/>
          <w:lang w:val="en-US"/>
        </w:rPr>
        <w:t xml:space="preserve"> Corridor</w:t>
      </w:r>
      <w:r w:rsidR="00C4193F">
        <w:rPr>
          <w:bCs/>
          <w:lang w:val="en-US"/>
        </w:rPr>
        <w:t xml:space="preserve"> (see annex)</w:t>
      </w:r>
      <w:r w:rsidRPr="009B27C8">
        <w:rPr>
          <w:bCs/>
          <w:lang w:val="en-US"/>
        </w:rPr>
        <w:t>.</w:t>
      </w:r>
    </w:p>
    <w:p w14:paraId="21DD2D53" w14:textId="11616741" w:rsidR="009B27C8" w:rsidRPr="009B27C8" w:rsidRDefault="009B27C8" w:rsidP="005F77A0">
      <w:pPr>
        <w:pStyle w:val="SingleTxtG"/>
        <w:ind w:left="1418" w:firstLine="283"/>
        <w:rPr>
          <w:bCs/>
          <w:lang w:val="en-US"/>
        </w:rPr>
      </w:pPr>
      <w:r w:rsidRPr="009B27C8">
        <w:rPr>
          <w:bCs/>
          <w:lang w:val="en-US"/>
        </w:rPr>
        <w:t xml:space="preserve">In this legally binding </w:t>
      </w:r>
      <w:r w:rsidR="00D6063C">
        <w:rPr>
          <w:bCs/>
          <w:lang w:val="en-US"/>
        </w:rPr>
        <w:t>o</w:t>
      </w:r>
      <w:r w:rsidRPr="009B27C8">
        <w:rPr>
          <w:bCs/>
          <w:lang w:val="en-US"/>
        </w:rPr>
        <w:t>rder</w:t>
      </w:r>
      <w:r w:rsidR="00503D97">
        <w:rPr>
          <w:bCs/>
          <w:lang w:val="en-US"/>
        </w:rPr>
        <w:t>,</w:t>
      </w:r>
      <w:r w:rsidRPr="009B27C8">
        <w:rPr>
          <w:bCs/>
          <w:lang w:val="en-US"/>
        </w:rPr>
        <w:t xml:space="preserve"> adopted by the </w:t>
      </w:r>
      <w:r w:rsidR="000D035B">
        <w:rPr>
          <w:bCs/>
          <w:lang w:val="en-US"/>
        </w:rPr>
        <w:t xml:space="preserve">Court </w:t>
      </w:r>
      <w:r w:rsidRPr="009B27C8">
        <w:rPr>
          <w:bCs/>
          <w:lang w:val="en-US"/>
        </w:rPr>
        <w:t>on 22 February 2023</w:t>
      </w:r>
      <w:r w:rsidR="000D035B">
        <w:rPr>
          <w:bCs/>
          <w:lang w:val="en-US"/>
        </w:rPr>
        <w:t>,</w:t>
      </w:r>
      <w:r w:rsidRPr="009B27C8">
        <w:rPr>
          <w:bCs/>
          <w:lang w:val="en-US"/>
        </w:rPr>
        <w:t xml:space="preserve"> </w:t>
      </w:r>
      <w:r w:rsidR="000D035B">
        <w:rPr>
          <w:bCs/>
          <w:lang w:val="en-US"/>
        </w:rPr>
        <w:t xml:space="preserve">it observed that </w:t>
      </w:r>
      <w:r w:rsidRPr="009B27C8">
        <w:rPr>
          <w:bCs/>
          <w:lang w:val="en-US"/>
        </w:rPr>
        <w:t xml:space="preserve">since 12 December 2022, the connection between Nagorno-Karabakh and Armenia via the </w:t>
      </w:r>
      <w:proofErr w:type="spellStart"/>
      <w:r w:rsidRPr="009B27C8">
        <w:rPr>
          <w:bCs/>
          <w:lang w:val="en-US"/>
        </w:rPr>
        <w:t>Lachin</w:t>
      </w:r>
      <w:proofErr w:type="spellEnd"/>
      <w:r w:rsidRPr="009B27C8">
        <w:rPr>
          <w:bCs/>
          <w:lang w:val="en-US"/>
        </w:rPr>
        <w:t xml:space="preserve"> Corridor has been disrupted. The Court notes that a number of consequences have resulted from this situation and that the impact on those affected persists to this date. The information available to the Court indicates that the disruption on the </w:t>
      </w:r>
      <w:proofErr w:type="spellStart"/>
      <w:r w:rsidRPr="009B27C8">
        <w:rPr>
          <w:bCs/>
          <w:lang w:val="en-US"/>
        </w:rPr>
        <w:t>Lachin</w:t>
      </w:r>
      <w:proofErr w:type="spellEnd"/>
      <w:r w:rsidRPr="009B27C8">
        <w:rPr>
          <w:bCs/>
          <w:lang w:val="en-US"/>
        </w:rPr>
        <w:t xml:space="preserve"> Corridor has impeded the transfer of persons of Armenian national or ethnic origin hospitalized in Nagorno-Karabakh to medical facilities in Armenia for urgent medical care. The evidence also indicates that there have been hindrances to the importation into Nagorno-Karabakh of essential goods, causing shortages of food, medicine and other life-saving medical supplies.</w:t>
      </w:r>
    </w:p>
    <w:p w14:paraId="4F1ECAA2" w14:textId="77777777" w:rsidR="005F77A0" w:rsidRDefault="009B27C8" w:rsidP="009B27C8">
      <w:pPr>
        <w:pStyle w:val="SingleTxtG"/>
        <w:ind w:firstLine="567"/>
        <w:rPr>
          <w:bCs/>
          <w:lang w:val="en-US"/>
        </w:rPr>
      </w:pPr>
      <w:r w:rsidRPr="009B27C8">
        <w:rPr>
          <w:bCs/>
          <w:lang w:val="en-US"/>
        </w:rPr>
        <w:t xml:space="preserve">Subsequently, the Court indicated the following provisional measure: </w:t>
      </w:r>
    </w:p>
    <w:p w14:paraId="3D2085EB" w14:textId="308D587E" w:rsidR="009B27C8" w:rsidRPr="00380A1B" w:rsidRDefault="009B27C8" w:rsidP="00311870">
      <w:pPr>
        <w:pStyle w:val="SingleTxtG"/>
        <w:ind w:left="1418" w:firstLine="283"/>
        <w:rPr>
          <w:lang w:val="en-US"/>
        </w:rPr>
      </w:pPr>
      <w:r w:rsidRPr="009B27C8">
        <w:rPr>
          <w:bCs/>
          <w:lang w:val="en-US"/>
        </w:rPr>
        <w:t xml:space="preserve">The Republic of Azerbaijan shall, pending the final decision in the case and in accordance with its obligations under </w:t>
      </w:r>
      <w:r w:rsidR="007F7A34">
        <w:rPr>
          <w:bCs/>
          <w:lang w:val="en-US"/>
        </w:rPr>
        <w:t>[</w:t>
      </w:r>
      <w:r w:rsidRPr="009B27C8">
        <w:rPr>
          <w:bCs/>
          <w:lang w:val="en-US"/>
        </w:rPr>
        <w:t>the International Convention on the Elimination of All Forms of Racial Discrimination</w:t>
      </w:r>
      <w:r w:rsidR="007F7A34">
        <w:rPr>
          <w:bCs/>
          <w:lang w:val="en-US"/>
        </w:rPr>
        <w:t>]</w:t>
      </w:r>
      <w:r w:rsidRPr="009B27C8">
        <w:rPr>
          <w:bCs/>
          <w:lang w:val="en-US"/>
        </w:rPr>
        <w:t xml:space="preserve">, </w:t>
      </w:r>
      <w:r w:rsidRPr="00311870">
        <w:rPr>
          <w:lang w:val="en-US"/>
        </w:rPr>
        <w:t xml:space="preserve">take all measures at its disposal to ensure unimpeded movement of persons, vehicles and cargo along the </w:t>
      </w:r>
      <w:proofErr w:type="spellStart"/>
      <w:r w:rsidRPr="00311870">
        <w:rPr>
          <w:lang w:val="en-US"/>
        </w:rPr>
        <w:t>Lachin</w:t>
      </w:r>
      <w:proofErr w:type="spellEnd"/>
      <w:r w:rsidRPr="00311870">
        <w:rPr>
          <w:lang w:val="en-US"/>
        </w:rPr>
        <w:t xml:space="preserve"> Corridor in both directions.</w:t>
      </w:r>
    </w:p>
    <w:p w14:paraId="23BE6E20" w14:textId="39889E09" w:rsidR="009B27C8" w:rsidRPr="00380A1B" w:rsidRDefault="009B27C8" w:rsidP="009B27C8">
      <w:pPr>
        <w:pStyle w:val="SingleTxtG"/>
        <w:ind w:firstLine="567"/>
        <w:rPr>
          <w:lang w:val="en-US"/>
        </w:rPr>
      </w:pPr>
      <w:r w:rsidRPr="00380A1B">
        <w:rPr>
          <w:lang w:val="en-US"/>
        </w:rPr>
        <w:t xml:space="preserve">In another ruling, adopted on the same day, the Court unanimously rejected the </w:t>
      </w:r>
      <w:r w:rsidR="002247E6">
        <w:rPr>
          <w:lang w:val="en-US"/>
        </w:rPr>
        <w:t>r</w:t>
      </w:r>
      <w:r w:rsidRPr="00380A1B">
        <w:rPr>
          <w:lang w:val="en-US"/>
        </w:rPr>
        <w:t xml:space="preserve">equest for the indication of provisional measures submitted by the Republic of Azerbaijan in relation to the latter’s allegations against Armenia on landmines. </w:t>
      </w:r>
    </w:p>
    <w:p w14:paraId="5B938EBA" w14:textId="5157D5F7" w:rsidR="009B27C8" w:rsidRPr="00311870" w:rsidRDefault="009B27C8" w:rsidP="009B27C8">
      <w:pPr>
        <w:pStyle w:val="SingleTxtG"/>
        <w:ind w:firstLine="567"/>
        <w:rPr>
          <w:lang w:val="en-US"/>
        </w:rPr>
      </w:pPr>
      <w:r w:rsidRPr="00380A1B">
        <w:rPr>
          <w:lang w:val="en-US"/>
        </w:rPr>
        <w:t xml:space="preserve">The Court found that its previous </w:t>
      </w:r>
      <w:r w:rsidR="00D6063C">
        <w:rPr>
          <w:lang w:val="en-US"/>
        </w:rPr>
        <w:t>o</w:t>
      </w:r>
      <w:r w:rsidRPr="00380A1B">
        <w:rPr>
          <w:lang w:val="en-US"/>
        </w:rPr>
        <w:t>rder adopted on 7 December 2021 on a similar request by Azerbaijan made against Armenia applie</w:t>
      </w:r>
      <w:r w:rsidR="00D6063C">
        <w:rPr>
          <w:lang w:val="en-US"/>
        </w:rPr>
        <w:t>d</w:t>
      </w:r>
      <w:r w:rsidRPr="00380A1B">
        <w:rPr>
          <w:lang w:val="en-US"/>
        </w:rPr>
        <w:t xml:space="preserve"> also to the present circumstances. Accordingly, the </w:t>
      </w:r>
      <w:r w:rsidR="00D6063C">
        <w:rPr>
          <w:lang w:val="en-US"/>
        </w:rPr>
        <w:t>Court</w:t>
      </w:r>
      <w:r w:rsidR="00D6063C" w:rsidRPr="00380A1B">
        <w:rPr>
          <w:lang w:val="en-US"/>
        </w:rPr>
        <w:t xml:space="preserve"> </w:t>
      </w:r>
      <w:r w:rsidRPr="00380A1B">
        <w:rPr>
          <w:lang w:val="en-US"/>
        </w:rPr>
        <w:t xml:space="preserve">quotes its previous order, which was also adopted unanimously: “Azerbaijan has not placed before the Court evidence indicating that Armenia’s alleged conduct with respect to landmines has </w:t>
      </w:r>
      <w:r w:rsidR="00E44A1E">
        <w:rPr>
          <w:lang w:val="en-US"/>
        </w:rPr>
        <w:t>‘</w:t>
      </w:r>
      <w:r w:rsidRPr="00380A1B">
        <w:rPr>
          <w:lang w:val="en-US"/>
        </w:rPr>
        <w:t>the purpose or effect of nullifying or impairing the recognition, enjoyment or exercise, on an equal footing</w:t>
      </w:r>
      <w:r w:rsidR="00017812">
        <w:rPr>
          <w:lang w:val="en-US"/>
        </w:rPr>
        <w:t>’</w:t>
      </w:r>
      <w:r w:rsidRPr="00380A1B">
        <w:rPr>
          <w:lang w:val="en-US"/>
        </w:rPr>
        <w:t xml:space="preserve">, of rights of persons of Azerbaijani national or ethnic origin.” </w:t>
      </w:r>
      <w:r w:rsidRPr="00311870">
        <w:rPr>
          <w:lang w:val="en-US"/>
        </w:rPr>
        <w:t xml:space="preserve">Therefore, the </w:t>
      </w:r>
      <w:r w:rsidR="00C4193F">
        <w:rPr>
          <w:lang w:val="en-US"/>
        </w:rPr>
        <w:t>Court</w:t>
      </w:r>
      <w:r w:rsidR="00C4193F" w:rsidRPr="00311870">
        <w:rPr>
          <w:lang w:val="en-US"/>
        </w:rPr>
        <w:t xml:space="preserve"> </w:t>
      </w:r>
      <w:r w:rsidRPr="00311870">
        <w:rPr>
          <w:lang w:val="en-US"/>
        </w:rPr>
        <w:t>has twice unanimously rejected the false accusations of Azerbaijan about the alleged use of landmines by Armenia.</w:t>
      </w:r>
    </w:p>
    <w:p w14:paraId="77EBFA73" w14:textId="60953E22" w:rsidR="009B27C8" w:rsidRPr="009B27C8" w:rsidRDefault="009B27C8" w:rsidP="009B27C8">
      <w:pPr>
        <w:pStyle w:val="SingleTxtG"/>
        <w:ind w:firstLine="567"/>
        <w:rPr>
          <w:bCs/>
          <w:lang w:val="en-US"/>
        </w:rPr>
      </w:pPr>
      <w:r w:rsidRPr="009B27C8">
        <w:rPr>
          <w:bCs/>
          <w:lang w:val="en-US"/>
        </w:rPr>
        <w:lastRenderedPageBreak/>
        <w:t xml:space="preserve">The Permanent Mission of Armenia kindly requests the Office of the </w:t>
      </w:r>
      <w:r w:rsidR="00C4193F">
        <w:rPr>
          <w:bCs/>
          <w:lang w:val="en-US"/>
        </w:rPr>
        <w:t xml:space="preserve">United Nations </w:t>
      </w:r>
      <w:r w:rsidRPr="009B27C8">
        <w:rPr>
          <w:bCs/>
          <w:lang w:val="en-US"/>
        </w:rPr>
        <w:t xml:space="preserve">High Commissioner </w:t>
      </w:r>
      <w:r w:rsidR="00C4193F">
        <w:rPr>
          <w:bCs/>
          <w:lang w:val="en-US"/>
        </w:rPr>
        <w:t xml:space="preserve">for Human Rights </w:t>
      </w:r>
      <w:r w:rsidRPr="009B27C8">
        <w:rPr>
          <w:bCs/>
          <w:lang w:val="en-US"/>
        </w:rPr>
        <w:t xml:space="preserve">to circulate the present </w:t>
      </w:r>
      <w:r>
        <w:rPr>
          <w:bCs/>
          <w:lang w:val="en-US"/>
        </w:rPr>
        <w:t>n</w:t>
      </w:r>
      <w:r w:rsidRPr="009B27C8">
        <w:rPr>
          <w:bCs/>
          <w:lang w:val="en-US"/>
        </w:rPr>
        <w:t xml:space="preserve">ote </w:t>
      </w:r>
      <w:proofErr w:type="spellStart"/>
      <w:r>
        <w:rPr>
          <w:bCs/>
          <w:lang w:val="en-US"/>
        </w:rPr>
        <w:t>v</w:t>
      </w:r>
      <w:r w:rsidRPr="009B27C8">
        <w:rPr>
          <w:bCs/>
          <w:lang w:val="en-US"/>
        </w:rPr>
        <w:t>erbale</w:t>
      </w:r>
      <w:proofErr w:type="spellEnd"/>
      <w:r w:rsidRPr="009B27C8">
        <w:rPr>
          <w:bCs/>
          <w:lang w:val="en-US"/>
        </w:rPr>
        <w:t xml:space="preserve"> and the </w:t>
      </w:r>
      <w:r w:rsidR="005951A4">
        <w:rPr>
          <w:bCs/>
          <w:lang w:val="en-US"/>
        </w:rPr>
        <w:t>annex thereto</w:t>
      </w:r>
      <w:r w:rsidRPr="00941E0F">
        <w:rPr>
          <w:rStyle w:val="FootnoteReference"/>
          <w:sz w:val="20"/>
          <w:vertAlign w:val="baseline"/>
        </w:rPr>
        <w:footnoteReference w:customMarkFollows="1" w:id="2"/>
        <w:t>*</w:t>
      </w:r>
      <w:r w:rsidRPr="009B27C8">
        <w:rPr>
          <w:bCs/>
          <w:lang w:val="en-US"/>
        </w:rPr>
        <w:t xml:space="preserve"> as </w:t>
      </w:r>
      <w:r w:rsidR="005951A4">
        <w:rPr>
          <w:bCs/>
          <w:lang w:val="en-US"/>
        </w:rPr>
        <w:t>a</w:t>
      </w:r>
      <w:r w:rsidR="005951A4" w:rsidRPr="009B27C8">
        <w:rPr>
          <w:bCs/>
          <w:lang w:val="en-US"/>
        </w:rPr>
        <w:t xml:space="preserve"> </w:t>
      </w:r>
      <w:r w:rsidRPr="009B27C8">
        <w:rPr>
          <w:bCs/>
          <w:lang w:val="en-US"/>
        </w:rPr>
        <w:t>document of the Human Rights Council, under agenda item 4.</w:t>
      </w:r>
    </w:p>
    <w:p w14:paraId="4C7B2B64" w14:textId="77777777" w:rsidR="000A0FB2" w:rsidRPr="002A1D9F" w:rsidRDefault="000A0FB2" w:rsidP="00490BF9">
      <w:pPr>
        <w:tabs>
          <w:tab w:val="left" w:pos="8505"/>
        </w:tabs>
        <w:spacing w:after="120"/>
        <w:ind w:right="1134"/>
        <w:jc w:val="both"/>
        <w:rPr>
          <w:rtl/>
        </w:rPr>
      </w:pPr>
      <w:r w:rsidRPr="00265D49">
        <w:br w:type="page"/>
      </w:r>
    </w:p>
    <w:p w14:paraId="6F974790" w14:textId="77777777" w:rsidR="00735FB5" w:rsidRDefault="007825A3" w:rsidP="00735FB5">
      <w:pPr>
        <w:pStyle w:val="HChG"/>
        <w:jc w:val="both"/>
        <w:rPr>
          <w:bCs/>
        </w:rPr>
      </w:pPr>
      <w:r>
        <w:lastRenderedPageBreak/>
        <w:tab/>
      </w:r>
      <w:r>
        <w:tab/>
      </w:r>
      <w:r w:rsidR="009D7460" w:rsidRPr="00D571B8">
        <w:rPr>
          <w:rFonts w:eastAsia="Calibri"/>
        </w:rPr>
        <w:t xml:space="preserve">Annex to the note </w:t>
      </w:r>
      <w:proofErr w:type="spellStart"/>
      <w:r w:rsidR="009D7460" w:rsidRPr="00D571B8">
        <w:rPr>
          <w:rFonts w:eastAsia="Calibri"/>
        </w:rPr>
        <w:t>verbale</w:t>
      </w:r>
      <w:proofErr w:type="spellEnd"/>
      <w:r w:rsidR="009D7460" w:rsidRPr="00D571B8">
        <w:rPr>
          <w:rFonts w:eastAsia="Calibri"/>
        </w:rPr>
        <w:t xml:space="preserve"> dated </w:t>
      </w:r>
      <w:r w:rsidR="004178A5">
        <w:t>24 February 2023</w:t>
      </w:r>
      <w:r w:rsidR="004178A5" w:rsidRPr="00586CC7">
        <w:t xml:space="preserve"> </w:t>
      </w:r>
      <w:r w:rsidR="009D7460" w:rsidRPr="00D571B8">
        <w:rPr>
          <w:rFonts w:eastAsia="Calibri"/>
        </w:rPr>
        <w:t xml:space="preserve">from the </w:t>
      </w:r>
      <w:r w:rsidR="00735FB5" w:rsidRPr="00586CC7">
        <w:t>Permanent Mission of Armenia to the United Nations Office at Geneva addressed to the Office of the United Nations High Commissioner for Human Rights</w:t>
      </w:r>
    </w:p>
    <w:p w14:paraId="337BA061" w14:textId="71EAE46C" w:rsidR="009B27C8" w:rsidRPr="009B27C8" w:rsidRDefault="008F65DD" w:rsidP="00735FB5">
      <w:pPr>
        <w:pStyle w:val="HChG"/>
        <w:jc w:val="both"/>
        <w:rPr>
          <w:bCs/>
          <w:i/>
          <w:iCs/>
          <w:lang w:val="en-US"/>
        </w:rPr>
      </w:pPr>
      <w:r>
        <w:tab/>
      </w:r>
      <w:r>
        <w:tab/>
      </w:r>
      <w:r w:rsidR="009B27C8" w:rsidRPr="009B27C8">
        <w:rPr>
          <w:bCs/>
          <w:lang w:val="en-US"/>
        </w:rPr>
        <w:t xml:space="preserve">Statement of the Ministry of Foreign Affairs of the Republic of Armenia </w:t>
      </w:r>
      <w:r w:rsidR="009B27C8">
        <w:rPr>
          <w:bCs/>
          <w:lang w:val="en-US"/>
        </w:rPr>
        <w:t xml:space="preserve">dated </w:t>
      </w:r>
      <w:r w:rsidR="009B27C8" w:rsidRPr="009B27C8">
        <w:rPr>
          <w:bCs/>
          <w:lang w:val="en-US"/>
        </w:rPr>
        <w:t xml:space="preserve">22 </w:t>
      </w:r>
      <w:r w:rsidR="000372A3" w:rsidRPr="009B27C8">
        <w:rPr>
          <w:bCs/>
          <w:lang w:val="en-US"/>
        </w:rPr>
        <w:t>February</w:t>
      </w:r>
      <w:r w:rsidR="009B27C8" w:rsidRPr="009B27C8">
        <w:rPr>
          <w:bCs/>
          <w:lang w:val="en-US"/>
        </w:rPr>
        <w:t xml:space="preserve"> 2023</w:t>
      </w:r>
      <w:r w:rsidR="009B27C8">
        <w:rPr>
          <w:bCs/>
          <w:i/>
          <w:iCs/>
          <w:lang w:val="en-US"/>
        </w:rPr>
        <w:t xml:space="preserve"> </w:t>
      </w:r>
      <w:r w:rsidR="009B27C8" w:rsidRPr="009B27C8">
        <w:rPr>
          <w:bCs/>
          <w:lang w:val="en-US"/>
        </w:rPr>
        <w:t xml:space="preserve">on Order of the International Court of Justice on the request for provisional measures made by Armenia regarding the disruption of the </w:t>
      </w:r>
      <w:proofErr w:type="spellStart"/>
      <w:r w:rsidR="009B27C8" w:rsidRPr="009B27C8">
        <w:rPr>
          <w:bCs/>
          <w:lang w:val="en-US"/>
        </w:rPr>
        <w:t>Lachin</w:t>
      </w:r>
      <w:proofErr w:type="spellEnd"/>
      <w:r w:rsidR="009B27C8" w:rsidRPr="009B27C8">
        <w:rPr>
          <w:bCs/>
          <w:lang w:val="en-US"/>
        </w:rPr>
        <w:t xml:space="preserve"> corridor</w:t>
      </w:r>
    </w:p>
    <w:p w14:paraId="137BA704" w14:textId="77777777" w:rsidR="009B27C8" w:rsidRPr="009B27C8" w:rsidRDefault="009B27C8" w:rsidP="009B27C8">
      <w:pPr>
        <w:pStyle w:val="SingleTxtG"/>
        <w:rPr>
          <w:lang w:val="en-US"/>
        </w:rPr>
      </w:pPr>
      <w:r w:rsidRPr="009B27C8">
        <w:rPr>
          <w:lang w:val="en-US"/>
        </w:rPr>
        <w:t xml:space="preserve">We welcome the decisions of the International Court of Justice of February 22 on the requests for provisional measures made by Armenia and Azerbaijan under the International Convention on the Elimination of All Forms of Racial Discrimination (CERD). </w:t>
      </w:r>
    </w:p>
    <w:p w14:paraId="09C2ED71" w14:textId="77777777" w:rsidR="009B27C8" w:rsidRPr="009B27C8" w:rsidRDefault="009B27C8" w:rsidP="009B27C8">
      <w:pPr>
        <w:pStyle w:val="SingleTxtG"/>
        <w:rPr>
          <w:lang w:val="en-US"/>
        </w:rPr>
      </w:pPr>
      <w:r w:rsidRPr="009B27C8">
        <w:rPr>
          <w:lang w:val="en-US"/>
        </w:rPr>
        <w:t xml:space="preserve">The Court has issued a legally binding order against Azerbaijan in the proceedings brought by Armenia against it, while categorically rejecting Azerbaijan’s requests made in the parallel proceedings Azerbaijan brought against Armenia. In the mentioned order, the Court has found that there is an imminent risk of irreparable harm to Armenians’ rights under the CERD, and ordered Azerbaijan to take all necessary measures to ensure unimpeded movement of persons, vehicles and cargo along the </w:t>
      </w:r>
      <w:proofErr w:type="spellStart"/>
      <w:r w:rsidRPr="009B27C8">
        <w:rPr>
          <w:lang w:val="en-US"/>
        </w:rPr>
        <w:t>Lachin</w:t>
      </w:r>
      <w:proofErr w:type="spellEnd"/>
      <w:r w:rsidRPr="009B27C8">
        <w:rPr>
          <w:lang w:val="en-US"/>
        </w:rPr>
        <w:t xml:space="preserve"> Corridor in both directions.</w:t>
      </w:r>
    </w:p>
    <w:p w14:paraId="161BC93E" w14:textId="77777777" w:rsidR="009B27C8" w:rsidRPr="009B27C8" w:rsidRDefault="009B27C8" w:rsidP="009B27C8">
      <w:pPr>
        <w:pStyle w:val="SingleTxtG"/>
        <w:rPr>
          <w:lang w:val="en-US"/>
        </w:rPr>
      </w:pPr>
      <w:r w:rsidRPr="009B27C8">
        <w:rPr>
          <w:lang w:val="en-US"/>
        </w:rPr>
        <w:t>In stark contrast, the Court by a unanimous vote completely rejected Azerbaijan’s request for provisional measures concerning fake allegations of landmine laying by Armenia in Nagorno-Karabakh and surrounding territories.</w:t>
      </w:r>
    </w:p>
    <w:p w14:paraId="0C1C26DD" w14:textId="76E3C9FA" w:rsidR="009B27C8" w:rsidRPr="009B27C8" w:rsidRDefault="009B27C8" w:rsidP="009B27C8">
      <w:pPr>
        <w:pStyle w:val="SingleTxtG"/>
        <w:rPr>
          <w:lang w:val="en-US"/>
        </w:rPr>
      </w:pPr>
      <w:r w:rsidRPr="009B27C8">
        <w:rPr>
          <w:lang w:val="en-US"/>
        </w:rPr>
        <w:t>Thus, in accordance with the Court’s orders, Azerbaijan's blockade of Nagorno-Karabakh and other actions must now come to an immediate end. Armenia will closely monitor the situation and inform the Court of any violations as Armenia’s case against Azerbaijan proceeds.</w:t>
      </w:r>
    </w:p>
    <w:p w14:paraId="2F0BB258" w14:textId="77777777" w:rsidR="009B27C8" w:rsidRPr="009B27C8" w:rsidRDefault="009B27C8" w:rsidP="009B27C8">
      <w:pPr>
        <w:pStyle w:val="SingleTxtG"/>
        <w:rPr>
          <w:lang w:val="en-US"/>
        </w:rPr>
      </w:pPr>
      <w:r w:rsidRPr="009B27C8">
        <w:rPr>
          <w:lang w:val="en-US"/>
        </w:rPr>
        <w:t>We call on international partners to take efficient steps to ensure the immediate implementation of the Court's decision by Azerbaijan.</w:t>
      </w:r>
    </w:p>
    <w:p w14:paraId="03465F5F" w14:textId="1BC88398" w:rsidR="009B27C8" w:rsidRPr="009B27C8" w:rsidRDefault="009B27C8" w:rsidP="009B27C8">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9B27C8" w:rsidRPr="009B27C8" w:rsidSect="00CA1B04">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21D42" w14:textId="77777777" w:rsidR="000A5975" w:rsidRPr="00C47B2E" w:rsidRDefault="000A5975" w:rsidP="00C47B2E">
      <w:pPr>
        <w:pStyle w:val="Footer"/>
      </w:pPr>
    </w:p>
  </w:endnote>
  <w:endnote w:type="continuationSeparator" w:id="0">
    <w:p w14:paraId="4EE9D6EA" w14:textId="77777777" w:rsidR="000A5975" w:rsidRPr="00C47B2E" w:rsidRDefault="000A5975" w:rsidP="00C47B2E">
      <w:pPr>
        <w:pStyle w:val="Footer"/>
      </w:pPr>
    </w:p>
  </w:endnote>
  <w:endnote w:type="continuationNotice" w:id="1">
    <w:p w14:paraId="5E29F8FF" w14:textId="77777777" w:rsidR="000A5975" w:rsidRPr="00C47B2E" w:rsidRDefault="000A597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B2"/>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D5B33" w14:textId="6CACA9C4" w:rsidR="000A0FB2" w:rsidRDefault="000A0FB2" w:rsidP="000A0FB2">
    <w:pPr>
      <w:pStyle w:val="Footer"/>
      <w:tabs>
        <w:tab w:val="right" w:pos="9638"/>
      </w:tabs>
    </w:pPr>
    <w:r w:rsidRPr="000A0FB2">
      <w:rPr>
        <w:b/>
        <w:bCs/>
        <w:sz w:val="18"/>
      </w:rPr>
      <w:fldChar w:fldCharType="begin"/>
    </w:r>
    <w:r w:rsidRPr="000A0FB2">
      <w:rPr>
        <w:b/>
        <w:bCs/>
        <w:sz w:val="18"/>
      </w:rPr>
      <w:instrText xml:space="preserve"> PAGE  \* MERGEFORMAT </w:instrText>
    </w:r>
    <w:r w:rsidRPr="000A0FB2">
      <w:rPr>
        <w:b/>
        <w:bCs/>
        <w:sz w:val="18"/>
      </w:rPr>
      <w:fldChar w:fldCharType="separate"/>
    </w:r>
    <w:r w:rsidR="00311870">
      <w:rPr>
        <w:b/>
        <w:bCs/>
        <w:noProof/>
        <w:sz w:val="18"/>
      </w:rPr>
      <w:t>2</w:t>
    </w:r>
    <w:r w:rsidRPr="000A0FB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E2F32" w14:textId="24195C53" w:rsidR="000A0FB2" w:rsidRDefault="000A0FB2" w:rsidP="000A0FB2">
    <w:pPr>
      <w:pStyle w:val="Footer"/>
      <w:tabs>
        <w:tab w:val="right" w:pos="9638"/>
      </w:tabs>
    </w:pPr>
    <w:r>
      <w:tab/>
    </w:r>
    <w:r w:rsidRPr="000A0FB2">
      <w:rPr>
        <w:b/>
        <w:bCs/>
        <w:sz w:val="18"/>
      </w:rPr>
      <w:fldChar w:fldCharType="begin"/>
    </w:r>
    <w:r w:rsidRPr="000A0FB2">
      <w:rPr>
        <w:b/>
        <w:bCs/>
        <w:sz w:val="18"/>
      </w:rPr>
      <w:instrText xml:space="preserve"> PAGE  \* MERGEFORMAT </w:instrText>
    </w:r>
    <w:r w:rsidRPr="000A0FB2">
      <w:rPr>
        <w:b/>
        <w:bCs/>
        <w:sz w:val="18"/>
      </w:rPr>
      <w:fldChar w:fldCharType="separate"/>
    </w:r>
    <w:r w:rsidR="00311870">
      <w:rPr>
        <w:b/>
        <w:bCs/>
        <w:noProof/>
        <w:sz w:val="18"/>
      </w:rPr>
      <w:t>3</w:t>
    </w:r>
    <w:r w:rsidRPr="000A0FB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A2D14" w14:textId="19A64370" w:rsidR="00F040B3" w:rsidRPr="00F040B3" w:rsidRDefault="00F040B3" w:rsidP="00F040B3">
    <w:pPr>
      <w:pStyle w:val="Footer"/>
      <w:kinsoku/>
      <w:overflowPunct/>
      <w:autoSpaceDE/>
      <w:autoSpaceDN/>
      <w:adjustRightInd/>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DC96C" w14:textId="77777777" w:rsidR="000A5975" w:rsidRPr="00C47B2E" w:rsidRDefault="000A5975" w:rsidP="00C47B2E">
      <w:pPr>
        <w:tabs>
          <w:tab w:val="right" w:pos="2155"/>
        </w:tabs>
        <w:spacing w:after="80" w:line="240" w:lineRule="auto"/>
        <w:ind w:left="680"/>
      </w:pPr>
      <w:r>
        <w:rPr>
          <w:u w:val="single"/>
        </w:rPr>
        <w:tab/>
      </w:r>
    </w:p>
  </w:footnote>
  <w:footnote w:type="continuationSeparator" w:id="0">
    <w:p w14:paraId="4F295AE6" w14:textId="77777777" w:rsidR="000A5975" w:rsidRPr="00C47B2E" w:rsidRDefault="000A5975" w:rsidP="005E716E">
      <w:pPr>
        <w:tabs>
          <w:tab w:val="right" w:pos="2155"/>
        </w:tabs>
        <w:spacing w:after="80" w:line="240" w:lineRule="auto"/>
        <w:ind w:left="680"/>
      </w:pPr>
      <w:r>
        <w:rPr>
          <w:u w:val="single"/>
        </w:rPr>
        <w:tab/>
      </w:r>
    </w:p>
  </w:footnote>
  <w:footnote w:type="continuationNotice" w:id="1">
    <w:p w14:paraId="58BD0E86" w14:textId="77777777" w:rsidR="000A5975" w:rsidRPr="00C47B2E" w:rsidRDefault="000A5975" w:rsidP="00C47B2E">
      <w:pPr>
        <w:pStyle w:val="Footer"/>
      </w:pPr>
    </w:p>
  </w:footnote>
  <w:footnote w:id="2">
    <w:p w14:paraId="1ACA4605" w14:textId="77777777" w:rsidR="009B27C8" w:rsidRPr="0013204C" w:rsidRDefault="009B27C8" w:rsidP="009B27C8">
      <w:pPr>
        <w:pStyle w:val="FootnoteText"/>
        <w:rPr>
          <w:lang w:val="en-US"/>
        </w:rPr>
      </w:pPr>
      <w:r>
        <w:rPr>
          <w:rStyle w:val="FootnoteReference"/>
        </w:rPr>
        <w:tab/>
      </w:r>
      <w:r w:rsidRPr="0013204C">
        <w:rPr>
          <w:rStyle w:val="FootnoteReference"/>
          <w:sz w:val="20"/>
        </w:rPr>
        <w:t>*</w:t>
      </w:r>
      <w:r>
        <w:rPr>
          <w:rStyle w:val="FootnoteReference"/>
          <w:sz w:val="20"/>
        </w:rPr>
        <w:tab/>
      </w:r>
      <w:r w:rsidRPr="00266BDB">
        <w:rPr>
          <w:szCs w:val="18"/>
        </w:rPr>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AAA3D" w14:textId="4847534B" w:rsidR="000A0FB2" w:rsidRDefault="000A0FB2" w:rsidP="000A0FB2">
    <w:pPr>
      <w:pStyle w:val="Header"/>
    </w:pPr>
    <w:r>
      <w:t>A/HRC/</w:t>
    </w:r>
    <w:r w:rsidR="00E75BE5">
      <w:t>5</w:t>
    </w:r>
    <w:r w:rsidR="005F65E6">
      <w:t>2</w:t>
    </w:r>
    <w:r w:rsidR="00F848D8">
      <w:t>/G/</w:t>
    </w:r>
    <w:r w:rsidR="000372A3">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D1EE" w14:textId="59DDF68B" w:rsidR="000A0FB2" w:rsidRDefault="000A0FB2" w:rsidP="000A0FB2">
    <w:pPr>
      <w:pStyle w:val="Header"/>
      <w:jc w:val="right"/>
    </w:pPr>
    <w:r>
      <w:t>A/HRC/</w:t>
    </w:r>
    <w:r w:rsidR="00BA4DC4">
      <w:t>5</w:t>
    </w:r>
    <w:r w:rsidR="005F65E6">
      <w:t>2</w:t>
    </w:r>
    <w:r w:rsidR="00F848D8">
      <w:t>/G/</w:t>
    </w:r>
    <w:r w:rsidR="000372A3">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25B53"/>
    <w:multiLevelType w:val="hybridMultilevel"/>
    <w:tmpl w:val="7F8809DE"/>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6EB16B5"/>
    <w:multiLevelType w:val="hybridMultilevel"/>
    <w:tmpl w:val="BDD8B0A2"/>
    <w:lvl w:ilvl="0" w:tplc="4B4039EE">
      <w:start w:val="1"/>
      <w:numFmt w:val="decimal"/>
      <w:lvlText w:val="%1."/>
      <w:lvlJc w:val="left"/>
      <w:pPr>
        <w:ind w:left="270" w:hanging="360"/>
      </w:pPr>
      <w:rPr>
        <w:rFonts w:hint="default"/>
      </w:rPr>
    </w:lvl>
    <w:lvl w:ilvl="1" w:tplc="042C0019">
      <w:start w:val="1"/>
      <w:numFmt w:val="lowerLetter"/>
      <w:lvlText w:val="%2."/>
      <w:lvlJc w:val="left"/>
      <w:pPr>
        <w:ind w:left="990" w:hanging="360"/>
      </w:pPr>
    </w:lvl>
    <w:lvl w:ilvl="2" w:tplc="042C001B" w:tentative="1">
      <w:start w:val="1"/>
      <w:numFmt w:val="lowerRoman"/>
      <w:lvlText w:val="%3."/>
      <w:lvlJc w:val="right"/>
      <w:pPr>
        <w:ind w:left="1710" w:hanging="180"/>
      </w:pPr>
    </w:lvl>
    <w:lvl w:ilvl="3" w:tplc="042C000F" w:tentative="1">
      <w:start w:val="1"/>
      <w:numFmt w:val="decimal"/>
      <w:lvlText w:val="%4."/>
      <w:lvlJc w:val="left"/>
      <w:pPr>
        <w:ind w:left="2430" w:hanging="360"/>
      </w:pPr>
    </w:lvl>
    <w:lvl w:ilvl="4" w:tplc="042C0019" w:tentative="1">
      <w:start w:val="1"/>
      <w:numFmt w:val="lowerLetter"/>
      <w:lvlText w:val="%5."/>
      <w:lvlJc w:val="left"/>
      <w:pPr>
        <w:ind w:left="3150" w:hanging="360"/>
      </w:pPr>
    </w:lvl>
    <w:lvl w:ilvl="5" w:tplc="042C001B" w:tentative="1">
      <w:start w:val="1"/>
      <w:numFmt w:val="lowerRoman"/>
      <w:lvlText w:val="%6."/>
      <w:lvlJc w:val="right"/>
      <w:pPr>
        <w:ind w:left="3870" w:hanging="180"/>
      </w:pPr>
    </w:lvl>
    <w:lvl w:ilvl="6" w:tplc="042C000F" w:tentative="1">
      <w:start w:val="1"/>
      <w:numFmt w:val="decimal"/>
      <w:lvlText w:val="%7."/>
      <w:lvlJc w:val="left"/>
      <w:pPr>
        <w:ind w:left="4590" w:hanging="360"/>
      </w:pPr>
    </w:lvl>
    <w:lvl w:ilvl="7" w:tplc="042C0019" w:tentative="1">
      <w:start w:val="1"/>
      <w:numFmt w:val="lowerLetter"/>
      <w:lvlText w:val="%8."/>
      <w:lvlJc w:val="left"/>
      <w:pPr>
        <w:ind w:left="5310" w:hanging="360"/>
      </w:pPr>
    </w:lvl>
    <w:lvl w:ilvl="8" w:tplc="042C001B" w:tentative="1">
      <w:start w:val="1"/>
      <w:numFmt w:val="lowerRoman"/>
      <w:lvlText w:val="%9."/>
      <w:lvlJc w:val="right"/>
      <w:pPr>
        <w:ind w:left="603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D3000C3"/>
    <w:multiLevelType w:val="hybridMultilevel"/>
    <w:tmpl w:val="8B385D12"/>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6A0528"/>
    <w:multiLevelType w:val="hybridMultilevel"/>
    <w:tmpl w:val="B78886C0"/>
    <w:lvl w:ilvl="0" w:tplc="73D08CAA">
      <w:start w:val="1"/>
      <w:numFmt w:val="decimal"/>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231E10"/>
    <w:multiLevelType w:val="multilevel"/>
    <w:tmpl w:val="E66E8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BA6B8D"/>
    <w:multiLevelType w:val="hybridMultilevel"/>
    <w:tmpl w:val="D7DA475A"/>
    <w:lvl w:ilvl="0" w:tplc="2E3C3DC4">
      <w:start w:val="1"/>
      <w:numFmt w:val="upperRoman"/>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5A3EEA"/>
    <w:multiLevelType w:val="multilevel"/>
    <w:tmpl w:val="CC8A7B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6AB1B99"/>
    <w:multiLevelType w:val="multilevel"/>
    <w:tmpl w:val="C986C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FC211E"/>
    <w:multiLevelType w:val="hybridMultilevel"/>
    <w:tmpl w:val="5F280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39F07A8"/>
    <w:multiLevelType w:val="multilevel"/>
    <w:tmpl w:val="DC2CF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284D19"/>
    <w:multiLevelType w:val="multilevel"/>
    <w:tmpl w:val="D624AD56"/>
    <w:lvl w:ilvl="0">
      <w:start w:val="2"/>
      <w:numFmt w:val="decimal"/>
      <w:lvlText w:val="%1."/>
      <w:lvlJc w:val="left"/>
      <w:pPr>
        <w:ind w:left="390" w:hanging="39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CC017D"/>
    <w:multiLevelType w:val="hybridMultilevel"/>
    <w:tmpl w:val="5D2E2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13"/>
  </w:num>
  <w:num w:numId="5">
    <w:abstractNumId w:val="15"/>
  </w:num>
  <w:num w:numId="6">
    <w:abstractNumId w:val="19"/>
  </w:num>
  <w:num w:numId="7">
    <w:abstractNumId w:val="4"/>
  </w:num>
  <w:num w:numId="8">
    <w:abstractNumId w:val="1"/>
  </w:num>
  <w:num w:numId="9">
    <w:abstractNumId w:val="17"/>
  </w:num>
  <w:num w:numId="10">
    <w:abstractNumId w:val="1"/>
  </w:num>
  <w:num w:numId="11">
    <w:abstractNumId w:val="17"/>
  </w:num>
  <w:num w:numId="12">
    <w:abstractNumId w:val="3"/>
  </w:num>
  <w:num w:numId="13">
    <w:abstractNumId w:val="10"/>
  </w:num>
  <w:num w:numId="14">
    <w:abstractNumId w:val="12"/>
  </w:num>
  <w:num w:numId="15">
    <w:abstractNumId w:val="18"/>
  </w:num>
  <w:num w:numId="16">
    <w:abstractNumId w:val="20"/>
  </w:num>
  <w:num w:numId="17">
    <w:abstractNumId w:val="2"/>
  </w:num>
  <w:num w:numId="18">
    <w:abstractNumId w:val="5"/>
  </w:num>
  <w:num w:numId="19">
    <w:abstractNumId w:val="7"/>
  </w:num>
  <w:num w:numId="20">
    <w:abstractNumId w:val="16"/>
  </w:num>
  <w:num w:numId="21">
    <w:abstractNumId w:val="8"/>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EF"/>
    <w:rsid w:val="0000112B"/>
    <w:rsid w:val="00017812"/>
    <w:rsid w:val="000372A3"/>
    <w:rsid w:val="00046E92"/>
    <w:rsid w:val="00063C90"/>
    <w:rsid w:val="00072607"/>
    <w:rsid w:val="000961BA"/>
    <w:rsid w:val="00097B5F"/>
    <w:rsid w:val="000A0FB2"/>
    <w:rsid w:val="000A5975"/>
    <w:rsid w:val="000A618D"/>
    <w:rsid w:val="000C43D0"/>
    <w:rsid w:val="000D035B"/>
    <w:rsid w:val="000F2B06"/>
    <w:rsid w:val="00101B98"/>
    <w:rsid w:val="00120D26"/>
    <w:rsid w:val="001267C0"/>
    <w:rsid w:val="00170BC0"/>
    <w:rsid w:val="00175AC7"/>
    <w:rsid w:val="00185839"/>
    <w:rsid w:val="00194BD8"/>
    <w:rsid w:val="001B2865"/>
    <w:rsid w:val="001C6F93"/>
    <w:rsid w:val="001F4112"/>
    <w:rsid w:val="00205E99"/>
    <w:rsid w:val="002247E6"/>
    <w:rsid w:val="002459EF"/>
    <w:rsid w:val="00247E2C"/>
    <w:rsid w:val="00296FFE"/>
    <w:rsid w:val="002A32CB"/>
    <w:rsid w:val="002D6C53"/>
    <w:rsid w:val="002F5595"/>
    <w:rsid w:val="00311870"/>
    <w:rsid w:val="0033207D"/>
    <w:rsid w:val="00334F6A"/>
    <w:rsid w:val="00342AC8"/>
    <w:rsid w:val="00364FCC"/>
    <w:rsid w:val="00380A1B"/>
    <w:rsid w:val="003879B1"/>
    <w:rsid w:val="00395296"/>
    <w:rsid w:val="003B4550"/>
    <w:rsid w:val="0040017C"/>
    <w:rsid w:val="004178A5"/>
    <w:rsid w:val="00452101"/>
    <w:rsid w:val="00460C57"/>
    <w:rsid w:val="00461253"/>
    <w:rsid w:val="00490BF9"/>
    <w:rsid w:val="004A2814"/>
    <w:rsid w:val="004C0622"/>
    <w:rsid w:val="004D10F9"/>
    <w:rsid w:val="004D1E37"/>
    <w:rsid w:val="004F68A7"/>
    <w:rsid w:val="00503D97"/>
    <w:rsid w:val="005042C2"/>
    <w:rsid w:val="005951A4"/>
    <w:rsid w:val="005E716E"/>
    <w:rsid w:val="005F65E6"/>
    <w:rsid w:val="005F77A0"/>
    <w:rsid w:val="006168EF"/>
    <w:rsid w:val="00671529"/>
    <w:rsid w:val="006728C4"/>
    <w:rsid w:val="006B05B2"/>
    <w:rsid w:val="006B0654"/>
    <w:rsid w:val="006D2A64"/>
    <w:rsid w:val="0070489D"/>
    <w:rsid w:val="00723058"/>
    <w:rsid w:val="00724B7D"/>
    <w:rsid w:val="007268F9"/>
    <w:rsid w:val="00735FB5"/>
    <w:rsid w:val="00773C13"/>
    <w:rsid w:val="00773FD0"/>
    <w:rsid w:val="007825A3"/>
    <w:rsid w:val="00790DF7"/>
    <w:rsid w:val="0079752D"/>
    <w:rsid w:val="007B0F5C"/>
    <w:rsid w:val="007B5A05"/>
    <w:rsid w:val="007C52B0"/>
    <w:rsid w:val="007D513E"/>
    <w:rsid w:val="007E5C67"/>
    <w:rsid w:val="007F48B4"/>
    <w:rsid w:val="007F7A34"/>
    <w:rsid w:val="00836ECF"/>
    <w:rsid w:val="00861B4E"/>
    <w:rsid w:val="00866990"/>
    <w:rsid w:val="00884266"/>
    <w:rsid w:val="00891C5A"/>
    <w:rsid w:val="008A1AF8"/>
    <w:rsid w:val="008A75BE"/>
    <w:rsid w:val="008C0DB3"/>
    <w:rsid w:val="008F65DD"/>
    <w:rsid w:val="00930094"/>
    <w:rsid w:val="009411B4"/>
    <w:rsid w:val="00962A56"/>
    <w:rsid w:val="00970638"/>
    <w:rsid w:val="009B27C8"/>
    <w:rsid w:val="009C4ECE"/>
    <w:rsid w:val="009C5E51"/>
    <w:rsid w:val="009D0139"/>
    <w:rsid w:val="009D338A"/>
    <w:rsid w:val="009D717D"/>
    <w:rsid w:val="009D7460"/>
    <w:rsid w:val="009E32C2"/>
    <w:rsid w:val="009F5CDC"/>
    <w:rsid w:val="00A254F7"/>
    <w:rsid w:val="00A52702"/>
    <w:rsid w:val="00A558FA"/>
    <w:rsid w:val="00A775CF"/>
    <w:rsid w:val="00AC08ED"/>
    <w:rsid w:val="00B06045"/>
    <w:rsid w:val="00B41B6B"/>
    <w:rsid w:val="00B479CA"/>
    <w:rsid w:val="00B52EF4"/>
    <w:rsid w:val="00B62B61"/>
    <w:rsid w:val="00B75DB3"/>
    <w:rsid w:val="00BA4DC4"/>
    <w:rsid w:val="00BB1391"/>
    <w:rsid w:val="00C03015"/>
    <w:rsid w:val="00C0358D"/>
    <w:rsid w:val="00C23515"/>
    <w:rsid w:val="00C35A27"/>
    <w:rsid w:val="00C4193F"/>
    <w:rsid w:val="00C47B2E"/>
    <w:rsid w:val="00C563B2"/>
    <w:rsid w:val="00C706C6"/>
    <w:rsid w:val="00CA1B04"/>
    <w:rsid w:val="00CA5B65"/>
    <w:rsid w:val="00CC74A5"/>
    <w:rsid w:val="00D0242E"/>
    <w:rsid w:val="00D36D80"/>
    <w:rsid w:val="00D46100"/>
    <w:rsid w:val="00D6063C"/>
    <w:rsid w:val="00D66818"/>
    <w:rsid w:val="00D9129D"/>
    <w:rsid w:val="00DA51FF"/>
    <w:rsid w:val="00DB7A62"/>
    <w:rsid w:val="00E02C2B"/>
    <w:rsid w:val="00E10F6D"/>
    <w:rsid w:val="00E34AC1"/>
    <w:rsid w:val="00E44A1E"/>
    <w:rsid w:val="00E52109"/>
    <w:rsid w:val="00E529F9"/>
    <w:rsid w:val="00E71877"/>
    <w:rsid w:val="00E7304F"/>
    <w:rsid w:val="00E75317"/>
    <w:rsid w:val="00E75BE5"/>
    <w:rsid w:val="00E8453B"/>
    <w:rsid w:val="00E96E05"/>
    <w:rsid w:val="00ED6C48"/>
    <w:rsid w:val="00F040B3"/>
    <w:rsid w:val="00F24DA0"/>
    <w:rsid w:val="00F35F95"/>
    <w:rsid w:val="00F637C4"/>
    <w:rsid w:val="00F65F5D"/>
    <w:rsid w:val="00F71F61"/>
    <w:rsid w:val="00F848D8"/>
    <w:rsid w:val="00F86A3A"/>
    <w:rsid w:val="00F90B6C"/>
    <w:rsid w:val="00FB398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8A503"/>
  <w15:docId w15:val="{D5715A2D-CF0E-4922-8CBD-D0DDA069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A">
    <w:name w:val="_ H _Ch_GA"/>
    <w:basedOn w:val="Normal"/>
    <w:next w:val="Normal"/>
    <w:qFormat/>
    <w:rsid w:val="006B05B2"/>
    <w:pPr>
      <w:keepNext/>
      <w:keepLines/>
      <w:tabs>
        <w:tab w:val="right" w:pos="1021"/>
      </w:tabs>
      <w:kinsoku/>
      <w:overflowPunct/>
      <w:autoSpaceDE/>
      <w:autoSpaceDN/>
      <w:bidi/>
      <w:adjustRightInd/>
      <w:snapToGrid/>
      <w:spacing w:before="360" w:after="240" w:line="440" w:lineRule="exact"/>
      <w:ind w:left="1247" w:right="1247" w:hanging="1247"/>
      <w:jc w:val="lowKashida"/>
    </w:pPr>
    <w:rPr>
      <w:rFonts w:eastAsia="Times New Roman" w:cs="Traditional Arabic"/>
      <w:b/>
      <w:bCs/>
      <w:sz w:val="28"/>
      <w:szCs w:val="38"/>
      <w:lang w:val="en-US"/>
    </w:rPr>
  </w:style>
  <w:style w:type="paragraph" w:customStyle="1" w:styleId="SingleTxtGA">
    <w:name w:val="_ Single Txt_GA"/>
    <w:basedOn w:val="Normal"/>
    <w:qFormat/>
    <w:rsid w:val="006B05B2"/>
    <w:pPr>
      <w:tabs>
        <w:tab w:val="left" w:pos="1928"/>
        <w:tab w:val="left" w:pos="2608"/>
        <w:tab w:val="left" w:pos="3289"/>
        <w:tab w:val="left" w:pos="3969"/>
        <w:tab w:val="left" w:pos="4649"/>
        <w:tab w:val="left" w:pos="5330"/>
      </w:tabs>
      <w:suppressAutoHyphens w:val="0"/>
      <w:kinsoku/>
      <w:overflowPunct/>
      <w:autoSpaceDE/>
      <w:autoSpaceDN/>
      <w:bidi/>
      <w:adjustRightInd/>
      <w:snapToGrid/>
      <w:spacing w:after="120" w:line="360" w:lineRule="exact"/>
      <w:ind w:left="1247" w:right="1247"/>
      <w:jc w:val="lowKashida"/>
    </w:pPr>
    <w:rPr>
      <w:rFonts w:eastAsia="Times New Roman" w:cs="Traditional Arabic"/>
      <w:szCs w:val="28"/>
      <w:lang w:val="en-US"/>
    </w:rPr>
  </w:style>
  <w:style w:type="character" w:customStyle="1" w:styleId="UnresolvedMention1">
    <w:name w:val="Unresolved Mention1"/>
    <w:basedOn w:val="DefaultParagraphFont"/>
    <w:uiPriority w:val="99"/>
    <w:semiHidden/>
    <w:unhideWhenUsed/>
    <w:rsid w:val="00D66818"/>
    <w:rPr>
      <w:color w:val="605E5C"/>
      <w:shd w:val="clear" w:color="auto" w:fill="E1DFDD"/>
    </w:rPr>
  </w:style>
  <w:style w:type="paragraph" w:styleId="Revision">
    <w:name w:val="Revision"/>
    <w:hidden/>
    <w:uiPriority w:val="99"/>
    <w:semiHidden/>
    <w:rsid w:val="00724B7D"/>
    <w:pPr>
      <w:spacing w:after="0" w:line="240" w:lineRule="auto"/>
    </w:pPr>
    <w:rPr>
      <w:rFonts w:ascii="Times New Roman" w:eastAsiaTheme="minorHAnsi" w:hAnsi="Times New Roman" w:cs="Times New Roman"/>
      <w:sz w:val="20"/>
      <w:szCs w:val="20"/>
      <w:lang w:eastAsia="en-US"/>
    </w:rPr>
  </w:style>
  <w:style w:type="paragraph" w:styleId="NormalWeb">
    <w:name w:val="Normal (Web)"/>
    <w:basedOn w:val="Normal"/>
    <w:uiPriority w:val="99"/>
    <w:unhideWhenUsed/>
    <w:rsid w:val="00D36D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4720">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55134367">
      <w:bodyDiv w:val="1"/>
      <w:marLeft w:val="0"/>
      <w:marRight w:val="0"/>
      <w:marTop w:val="0"/>
      <w:marBottom w:val="0"/>
      <w:divBdr>
        <w:top w:val="none" w:sz="0" w:space="0" w:color="auto"/>
        <w:left w:val="none" w:sz="0" w:space="0" w:color="auto"/>
        <w:bottom w:val="none" w:sz="0" w:space="0" w:color="auto"/>
        <w:right w:val="none" w:sz="0" w:space="0" w:color="auto"/>
      </w:divBdr>
    </w:div>
    <w:div w:id="1392189247">
      <w:bodyDiv w:val="1"/>
      <w:marLeft w:val="0"/>
      <w:marRight w:val="0"/>
      <w:marTop w:val="0"/>
      <w:marBottom w:val="0"/>
      <w:divBdr>
        <w:top w:val="none" w:sz="0" w:space="0" w:color="auto"/>
        <w:left w:val="none" w:sz="0" w:space="0" w:color="auto"/>
        <w:bottom w:val="none" w:sz="0" w:space="0" w:color="auto"/>
        <w:right w:val="none" w:sz="0" w:space="0" w:color="auto"/>
      </w:divBdr>
    </w:div>
    <w:div w:id="1730499747">
      <w:bodyDiv w:val="1"/>
      <w:marLeft w:val="0"/>
      <w:marRight w:val="0"/>
      <w:marTop w:val="0"/>
      <w:marBottom w:val="0"/>
      <w:divBdr>
        <w:top w:val="none" w:sz="0" w:space="0" w:color="auto"/>
        <w:left w:val="none" w:sz="0" w:space="0" w:color="auto"/>
        <w:bottom w:val="none" w:sz="0" w:space="0" w:color="auto"/>
        <w:right w:val="none" w:sz="0" w:space="0" w:color="auto"/>
      </w:divBdr>
    </w:div>
    <w:div w:id="204925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D670C-92A0-4475-B016-D821FB12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A/HRC/49/G/15</vt:lpstr>
    </vt:vector>
  </TitlesOfParts>
  <Company>DCM</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A/HRC/49/G/15</dc:title>
  <dc:subject>2204757</dc:subject>
  <dc:creator>cg</dc:creator>
  <cp:keywords/>
  <dc:description/>
  <cp:lastModifiedBy>Juan Luis Barea Saavedra</cp:lastModifiedBy>
  <cp:revision>2</cp:revision>
  <cp:lastPrinted>2021-09-20T20:11:00Z</cp:lastPrinted>
  <dcterms:created xsi:type="dcterms:W3CDTF">2023-03-08T15:20:00Z</dcterms:created>
  <dcterms:modified xsi:type="dcterms:W3CDTF">2023-03-08T15:20:00Z</dcterms:modified>
</cp:coreProperties>
</file>